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Establir, amb efectes del dia 17 de juny de 2023, a favor dels diferents Grups Polítics Municipals, una dotació econòmica fixe per l’import següent:</w:t>
      </w:r>
    </w:p>
    <w:tbl>
      <w:tblGrid>
        <w:gridCol w:w="126100" w:type="dxa"/>
        <w:gridCol w:w="260450" w:type="dxa"/>
        <w:gridCol w:w="609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26100" w:type="pct"/>
            <w:vAlign w:val="center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2604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609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26100" w:type="pct"/>
            <w:vAlign w:val="center"/>
          </w:tcPr>
          <w:p>
            <w:pPr>
              <w:jc w:val="center"/>
            </w:pPr>
            <w:r>
              <w:rPr/>
              <w:t xml:space="preserve">07/07/2023</w:t>
            </w:r>
          </w:p>
        </w:tc>
        <w:tc>
          <w:tcPr>
            <w:tcW w:w="260450" w:type="pct"/>
            <w:vAlign w:val="center"/>
          </w:tcPr>
          <w:p>
            <w:pPr>
              <w:jc w:val="center"/>
            </w:pPr>
            <w:r>
              <w:rPr/>
              <w:t xml:space="preserve">Assignacions anuals</w:t>
            </w:r>
          </w:p>
        </w:tc>
        <w:tc>
          <w:tcPr>
            <w:tcW w:w="6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2026-09-08T16:39:53+00:00</dcterms:created>
  <dcterms:modified xsi:type="dcterms:W3CDTF">2026-09-08T16:39:53+00:00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