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Establir, amb efectes del dia 17 de juny de 2023, a favor dels diferents Grups Polítics Municipals, una dotació econòmica fixe per l’import següent:</w:t>
      </w:r>
    </w:p>
    <w:tbl>
      <w:tblGrid>
        <w:gridCol w:w="126100" w:type="dxa"/>
        <w:gridCol w:w="260450" w:type="dxa"/>
        <w:gridCol w:w="60900" w:type="dxa"/>
      </w:tblGrid>
      <w:tblPr>
        <w:tblW w:w="23400" w:type="pct"/>
        <w:tblLayout w:type="autofit"/>
        <w:bidiVisual w:val="0"/>
      </w:tblPr>
      <w:tr>
        <w:trPr>
          <w:tblHeader w:val="1"/>
        </w:trPr>
        <w:tc>
          <w:tcPr>
            <w:tcW w:w="126100" w:type="pct"/>
            <w:vAlign w:val="center"/>
          </w:tcPr>
          <w:p>
            <w:pPr>
              <w:jc w:val="center"/>
            </w:pPr>
            <w:r>
              <w:rPr/>
              <w:t xml:space="preserve">Data</w:t>
            </w:r>
          </w:p>
        </w:tc>
        <w:tc>
          <w:tcPr>
            <w:tcW w:w="26045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609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126100" w:type="pct"/>
            <w:vAlign w:val="center"/>
          </w:tcPr>
          <w:p>
            <w:pPr>
              <w:jc w:val="center"/>
            </w:pPr>
            <w:r>
              <w:rPr/>
              <w:t xml:space="preserve">07/07/2023</w:t>
            </w:r>
          </w:p>
        </w:tc>
        <w:tc>
          <w:tcPr>
            <w:tcW w:w="260450" w:type="pct"/>
            <w:vAlign w:val="center"/>
          </w:tcPr>
          <w:p>
            <w:pPr>
              <w:jc w:val="center"/>
            </w:pPr>
            <w:r>
              <w:rPr/>
              <w:t xml:space="preserve">Assignacions anuals</w:t>
            </w:r>
          </w:p>
        </w:tc>
        <w:tc>
          <w:tcPr>
            <w:tcW w:w="609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2026-10-24T01:34:16+00:00</dcterms:created>
  <dcterms:modified xsi:type="dcterms:W3CDTF">2026-10-24T01:34:16+00:00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